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78611d8k.htm"/>
      <w:bookmarkStart w:id="1" w:name="ksd17861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September 17,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SANGAMO THERAPEUTICS,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805" w:type="dxa"/>
        <w:jc w:val="left"/>
        <w:tblInd w:w="0" w:type="dxa"/>
        <w:tblLayout w:type="fixed"/>
        <w:tblCellMar>
          <w:top w:w="0" w:type="dxa"/>
          <w:left w:w="0" w:type="dxa"/>
          <w:bottom w:w="0" w:type="dxa"/>
          <w:right w:w="0" w:type="dxa"/>
        </w:tblCellMar>
      </w:tblPr>
      <w:tblGrid>
        <w:gridCol w:w="2720"/>
        <w:gridCol w:w="60"/>
        <w:gridCol w:w="1385"/>
        <w:gridCol w:w="60"/>
        <w:gridCol w:w="1580"/>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000-30171</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b/>
              </w:rPr>
            </w:pPr>
            <w:r>
              <w:rPr>
                <w:b/>
              </w:rPr>
              <w:t>68-0359556</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b/>
              </w:rPr>
            </w:pPr>
            <w:r>
              <w:rPr>
                <w:b/>
              </w:rPr>
              <w:t>(IRS Employer</w:t>
              <w:br/>
              <w:t>ID Number)</w:t>
            </w:r>
          </w:p>
        </w:tc>
      </w:tr>
    </w:tbl>
    <w:p>
      <w:pPr>
        <w:pStyle w:val="TextBody"/>
        <w:bidi w:val="0"/>
        <w:spacing w:before="240" w:after="0"/>
        <w:jc w:val="center"/>
        <w:rPr>
          <w:rFonts w:ascii="Times New Roman" w:hAnsi="Times New Roman"/>
          <w:b/>
          <w:sz w:val="20"/>
        </w:rPr>
      </w:pPr>
      <w:r>
        <w:rPr>
          <w:rFonts w:ascii="Times New Roman" w:hAnsi="Times New Roman"/>
          <w:b/>
          <w:sz w:val="20"/>
        </w:rPr>
        <w:t>501 Canal Blvd., Richmond, California 94804</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(Zip Code)</w:t>
      </w:r>
    </w:p>
    <w:p>
      <w:pPr>
        <w:pStyle w:val="TextBody"/>
        <w:bidi w:val="0"/>
        <w:spacing w:before="240" w:after="0"/>
        <w:jc w:val="center"/>
        <w:rPr>
          <w:rFonts w:ascii="Times New Roman" w:hAnsi="Times New Roman"/>
          <w:b/>
          <w:sz w:val="20"/>
        </w:rPr>
      </w:pPr>
      <w:r>
        <w:rPr>
          <w:rFonts w:ascii="Times New Roman" w:hAnsi="Times New Roman"/>
          <w:b/>
          <w:sz w:val="20"/>
        </w:rPr>
        <w:t>(510) 970-6000</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24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90" w:type="dxa"/>
        <w:jc w:val="left"/>
        <w:tblInd w:w="0" w:type="dxa"/>
        <w:tblLayout w:type="fixed"/>
        <w:tblCellMar>
          <w:top w:w="0" w:type="dxa"/>
          <w:left w:w="0" w:type="dxa"/>
          <w:bottom w:w="0" w:type="dxa"/>
          <w:right w:w="0" w:type="dxa"/>
        </w:tblCellMar>
      </w:tblPr>
      <w:tblGrid>
        <w:gridCol w:w="4025"/>
        <w:gridCol w:w="60"/>
        <w:gridCol w:w="740"/>
        <w:gridCol w:w="60"/>
        <w:gridCol w:w="2405"/>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4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025" w:type="dxa"/>
            <w:tcBorders/>
            <w:vAlign w:val="center"/>
          </w:tcPr>
          <w:p>
            <w:pPr>
              <w:pStyle w:val="TableContents"/>
              <w:bidi w:val="0"/>
              <w:spacing w:before="0" w:after="283"/>
              <w:jc w:val="center"/>
              <w:rPr/>
            </w:pPr>
            <w:r>
              <w:rPr/>
              <w:t>Common Stock, $0.01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SGMO</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283"/>
              <w:jc w:val="center"/>
              <w:rPr/>
            </w:pPr>
            <w:r>
              <w:rPr/>
              <w:t>Nasdaq Capital Market *</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Following a determination by the Nasdaq Stock Market LLC (“Nasdaq”) to delist the common stock of Sangamo Therapeutics, Inc. (the “Company”), the Company’s common stock was suspended from trading on Nasdaq on May 5, 2026 and currently trades on the OTCID Basic Market under the symbol “SGMOQ”. On July 14, 2026, the Nasdaq Hearings Panel issued a written determination letter denying the Company’s request to continue its listing on Nasdaq. On September 17, 2026, Nasdaq filed a Form 25 with the Securities and Exchange Commission (“SEC”) to delist the shares of common stock, $0.01 par value per share, of the Company, as a result of the events disclosed in the Company’s Current Report on Form 8-K filed with the SEC on July 20, 2026. The delisting from Nasdaq will become effective on September 27, 2026.</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3475" w:type="dxa"/>
        <w:jc w:val="left"/>
        <w:tblInd w:w="0" w:type="dxa"/>
        <w:tblLayout w:type="fixed"/>
        <w:tblCellMar>
          <w:top w:w="0" w:type="dxa"/>
          <w:left w:w="0" w:type="dxa"/>
          <w:bottom w:w="0" w:type="dxa"/>
          <w:right w:w="0" w:type="dxa"/>
        </w:tblCellMar>
      </w:tblPr>
      <w:tblGrid>
        <w:gridCol w:w="965"/>
        <w:gridCol w:w="2510"/>
      </w:tblGrid>
      <w:tr>
        <w:trPr/>
        <w:tc>
          <w:tcPr>
            <w:tcW w:w="965" w:type="dxa"/>
            <w:tcBorders/>
            <w:vAlign w:val="center"/>
          </w:tcPr>
          <w:p>
            <w:pPr>
              <w:pStyle w:val="TableContents"/>
              <w:bidi w:val="0"/>
              <w:spacing w:before="0" w:after="283"/>
              <w:jc w:val="left"/>
              <w:rPr>
                <w:b/>
              </w:rPr>
            </w:pPr>
            <w:r>
              <w:rPr>
                <w:b/>
              </w:rPr>
              <w:t>Item 1.03</w:t>
            </w:r>
          </w:p>
        </w:tc>
        <w:tc>
          <w:tcPr>
            <w:tcW w:w="25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Bankruptcy or Receivership.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under Item 2.01 below is incorporated into this Item 1.03 by reference. </w:t>
      </w:r>
    </w:p>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965"/>
        <w:gridCol w:w="4325"/>
      </w:tblGrid>
      <w:tr>
        <w:trPr/>
        <w:tc>
          <w:tcPr>
            <w:tcW w:w="965" w:type="dxa"/>
            <w:tcBorders/>
            <w:vAlign w:val="center"/>
          </w:tcPr>
          <w:p>
            <w:pPr>
              <w:pStyle w:val="TableContents"/>
              <w:bidi w:val="0"/>
              <w:spacing w:before="0" w:after="283"/>
              <w:jc w:val="left"/>
              <w:rPr>
                <w:b/>
              </w:rPr>
            </w:pPr>
            <w:r>
              <w:rPr>
                <w:b/>
              </w:rPr>
              <w:t>Item 2.01</w:t>
            </w:r>
          </w:p>
        </w:tc>
        <w:tc>
          <w:tcPr>
            <w:tcW w:w="43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Completion of Acquisition or Disposition of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 previously disclosed, on June 23, 2026, Sangamo Therapeutics, Inc. (the “Company”) filed a voluntary petition for relief (Case No. 26-10989) under Chapter 11 of the Bankruptcy Code in the United States Bankruptcy Court for the District of Delaware (the “Court” and such case, the “Chapter 11 Case”). The Company has continued to operate its business as a “debtor-in-possession” under the jurisdiction of the Court and in accordance with the applicable provisions of the Bankruptcy Code. </w:t>
      </w:r>
    </w:p>
    <w:p>
      <w:pPr>
        <w:pStyle w:val="TextBody"/>
        <w:bidi w:val="0"/>
        <w:spacing w:before="240" w:after="0"/>
        <w:jc w:val="left"/>
        <w:rPr>
          <w:rFonts w:ascii="Times New Roman" w:hAnsi="Times New Roman"/>
          <w:sz w:val="20"/>
        </w:rPr>
      </w:pPr>
      <w:r>
        <w:rPr>
          <w:rFonts w:ascii="Times New Roman" w:hAnsi="Times New Roman"/>
          <w:sz w:val="20"/>
        </w:rPr>
        <w:t xml:space="preserve">On July 14, 2026, the Court entered an order approving bidding procedures (the “Bid Procedures Order”) (Docket No. 122), which, among other things, authorized the Company to identify one or more purchasers, subject to the Court’s approval, in connection with the sale of substantially all of the Company’s assets and enter into one or more related purchase agreements. Pursuant to the Bid Procedures Order, the bid deadline was 5:00 p.m. (Eastern Time) on August 4, 2026, and the Company conducted a court-supervised auction process on August 10, 2026, at which PTC Therapeutics, Inc. (“PTC”) was selected as the successful bidder for the Purchased Assets (as defined below). </w:t>
      </w:r>
    </w:p>
    <w:p>
      <w:pPr>
        <w:pStyle w:val="TextBody"/>
        <w:bidi w:val="0"/>
        <w:spacing w:before="240" w:after="0"/>
        <w:jc w:val="left"/>
        <w:rPr>
          <w:rFonts w:ascii="Times New Roman" w:hAnsi="Times New Roman"/>
          <w:sz w:val="20"/>
        </w:rPr>
      </w:pPr>
      <w:r>
        <w:rPr>
          <w:rFonts w:ascii="Times New Roman" w:hAnsi="Times New Roman"/>
          <w:sz w:val="20"/>
        </w:rPr>
        <w:t xml:space="preserve">On September 2, 2026, the Court entered a Sale Order authorizing the sale of the Purchased Assets pursuant to the terms of the PTC APA (as defined below) (Docket No. 426). Accordingly, on September 17, 2026, the Company completed the previously announced sale of all of the Company’s right, title and interest in and to the assets primarily related to ST-920 (isaralgagene civaparvovec), a one-time administered AAV gene therapy product candidate for the treatment of Fabry disease (collectively, the “Purchased Assets”), as contemplated by the Asset Purchase Agreement (the “PTC APA”), dated August 25, 2026, by and between the Company and PTC, for total consideration consisting of (i) $111,000,000 payable in cash at closing and (ii) up to an additional $100,000,000 in contingent consideration payable upon the achievement of certain specified milestones, plus the assumption of certain specified liabilities of the Company (the “Assumed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summary of the Asset Purchase Agreement and the transactions contemplated thereby is not complete and is qualified in its entirety by reference to the full text of the Asset Purchase Agreement, a copy of which is filed as Exhibit 2.1 to this Current Report on Form 8-K. </w:t>
      </w:r>
    </w:p>
    <w:p>
      <w:pPr>
        <w:pStyle w:val="TextBody"/>
        <w:bidi w:val="0"/>
        <w:spacing w:before="360" w:after="0"/>
        <w:jc w:val="left"/>
        <w:rPr>
          <w:rFonts w:ascii="Times New Roman" w:hAnsi="Times New Roman"/>
          <w:b/>
          <w:i/>
          <w:sz w:val="20"/>
        </w:rPr>
      </w:pPr>
      <w:r>
        <w:rPr>
          <w:rFonts w:ascii="Times New Roman" w:hAnsi="Times New Roman"/>
          <w:b/>
          <w:i/>
          <w:sz w:val="20"/>
        </w:rPr>
        <w:t xml:space="preserve">Cautionary Language Regarding Trading in the Company’s Common Stock </w:t>
      </w:r>
    </w:p>
    <w:p>
      <w:pPr>
        <w:pStyle w:val="TextBody"/>
        <w:bidi w:val="0"/>
        <w:spacing w:before="120" w:after="0"/>
        <w:jc w:val="left"/>
        <w:rPr>
          <w:rFonts w:ascii="Times New Roman" w:hAnsi="Times New Roman"/>
          <w:sz w:val="20"/>
        </w:rPr>
      </w:pPr>
      <w:r>
        <w:rPr>
          <w:rFonts w:ascii="Times New Roman" w:hAnsi="Times New Roman"/>
          <w:sz w:val="20"/>
        </w:rPr>
        <w:t xml:space="preserve">The Company’s stockholders are cautioned that trading in the Company’s common stock during the pendency of the Chapter 11 Case is highly speculative and poses substantial risks. The Company’s common stock has been suspended from trading on, and the Company received a notice of delisting from, the Nasdaq Capital Market and is currently trading on the OTCID Basic Market under the symbol “SGMOQ,” and trading prices for the Company’s common stock may bear little or no relationship to the actual recovery, if any, by holders thereof in the Company’s Chapter 11 Case. Accordingly, the Company urges extreme caution with respect to existing and future investments in its common stock. </w:t>
      </w:r>
      <w:r>
        <w:br w:type="page"/>
      </w:r>
    </w:p>
    <w:p>
      <w:pPr>
        <w:pStyle w:val="HorizontalLine"/>
        <w:bidi w:val="0"/>
        <w:jc w:val="left"/>
        <w:rPr/>
      </w:pPr>
      <w:r>
        <w:rPr/>
      </w:r>
    </w:p>
    <w:tbl>
      <w:tblPr>
        <w:tblW w:w="4030" w:type="dxa"/>
        <w:jc w:val="left"/>
        <w:tblInd w:w="0" w:type="dxa"/>
        <w:tblLayout w:type="fixed"/>
        <w:tblCellMar>
          <w:top w:w="0" w:type="dxa"/>
          <w:left w:w="0" w:type="dxa"/>
          <w:bottom w:w="0" w:type="dxa"/>
          <w:right w:w="0" w:type="dxa"/>
        </w:tblCellMar>
      </w:tblPr>
      <w:tblGrid>
        <w:gridCol w:w="1025"/>
        <w:gridCol w:w="3005"/>
      </w:tblGrid>
      <w:tr>
        <w:trPr/>
        <w:tc>
          <w:tcPr>
            <w:tcW w:w="102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Exhibits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45"/>
        <w:gridCol w:w="120"/>
        <w:gridCol w:w="9540"/>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40"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Exhibit</w:t>
              <w:br/>
              <w:t>No.</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pBdr>
                <w:bottom w:val="single" w:sz="8" w:space="1" w:color="000000"/>
              </w:pBdr>
              <w:bidi w:val="0"/>
              <w:spacing w:before="0" w:after="0"/>
              <w:jc w:val="center"/>
              <w:rPr>
                <w:rFonts w:ascii="Times New Roman" w:hAnsi="Times New Roman"/>
                <w:sz w:val="16"/>
              </w:rPr>
            </w:pPr>
            <w:r>
              <w:rPr>
                <w:rFonts w:ascii="Times New Roman" w:hAnsi="Times New Roman"/>
                <w:sz w:val="16"/>
              </w:rPr>
              <w:t>Description</w:t>
            </w:r>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2.1#</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hyperlink r:id="rId2">
              <w:r>
                <w:rPr>
                  <w:rStyle w:val="InternetLink"/>
                </w:rPr>
                <w:t xml:space="preserve">Asset Purchase Agreement, dated August 25, 2026, by and between PTC Therapeutics, Inc. and Sangamo Therapeutics, Inc. (incorporated by reference to Exhibit 2.1 to the Company’s Current Report on Form 8-K filed on August 28, 2026). </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660"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540" w:type="dxa"/>
            <w:tcBorders/>
            <w:vAlign w:val="center"/>
          </w:tcPr>
          <w:p>
            <w:pPr>
              <w:pStyle w:val="TableContents"/>
              <w:bidi w:val="0"/>
              <w:spacing w:before="0" w:after="283"/>
              <w:jc w:val="left"/>
              <w:rPr/>
            </w:pPr>
            <w:r>
              <w:rPr/>
              <w:t>Cover Page Interactive Data File (embedded within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of the exhibits and schedules to this exhibit have been omitted in accordance with Regulation S-K Item 601(a)(5). The Company agrees to furnish a copy of all omitted exhibits and schedules to the SEC upon its request.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733" w:type="dxa"/>
        <w:jc w:val="left"/>
        <w:tblInd w:w="0" w:type="dxa"/>
        <w:tblLayout w:type="fixed"/>
        <w:tblCellMar>
          <w:top w:w="0" w:type="dxa"/>
          <w:left w:w="0" w:type="dxa"/>
          <w:bottom w:w="0" w:type="dxa"/>
          <w:right w:w="0" w:type="dxa"/>
        </w:tblCellMar>
      </w:tblPr>
      <w:tblGrid>
        <w:gridCol w:w="2630"/>
        <w:gridCol w:w="60"/>
        <w:gridCol w:w="23"/>
        <w:gridCol w:w="60"/>
        <w:gridCol w:w="650"/>
        <w:gridCol w:w="60"/>
        <w:gridCol w:w="4250"/>
      </w:tblGrid>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0" w:type="dxa"/>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60" w:type="dxa"/>
            <w:gridSpan w:val="3"/>
            <w:tcBorders/>
            <w:vAlign w:val="center"/>
          </w:tcPr>
          <w:p>
            <w:pPr>
              <w:pStyle w:val="TableContents"/>
              <w:bidi w:val="0"/>
              <w:spacing w:before="0" w:after="283"/>
              <w:jc w:val="left"/>
              <w:rPr>
                <w:b/>
              </w:rPr>
            </w:pPr>
            <w:r>
              <w:rPr>
                <w:b/>
              </w:rPr>
              <w:t>SANGAMO THERAPEUTICS, INC.</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310" w:type="dxa"/>
            <w:gridSpan w:val="2"/>
            <w:tcBorders/>
            <w:vAlign w:val="center"/>
          </w:tcPr>
          <w:p>
            <w:pPr>
              <w:pStyle w:val="TableContents"/>
              <w:bidi w:val="0"/>
              <w:spacing w:before="0" w:after="283"/>
              <w:jc w:val="left"/>
              <w:rPr>
                <w:sz w:val="4"/>
                <w:szCs w:val="4"/>
              </w:rPr>
            </w:pPr>
            <w:r>
              <w:rPr>
                <w:sz w:val="4"/>
                <w:szCs w:val="4"/>
              </w:rPr>
            </w:r>
          </w:p>
        </w:tc>
      </w:tr>
      <w:tr>
        <w:trPr/>
        <w:tc>
          <w:tcPr>
            <w:tcW w:w="2630" w:type="dxa"/>
            <w:tcBorders/>
            <w:vAlign w:val="center"/>
          </w:tcPr>
          <w:p>
            <w:pPr>
              <w:pStyle w:val="TableContents"/>
              <w:bidi w:val="0"/>
              <w:spacing w:before="0" w:after="283"/>
              <w:jc w:val="left"/>
              <w:rPr/>
            </w:pPr>
            <w:r>
              <w:rPr/>
              <w:t>Dated: September 21,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SCOTT B. WILLOUGHBY</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Scott B. Willoughby</w:t>
            </w:r>
          </w:p>
        </w:tc>
      </w:tr>
      <w:tr>
        <w:trPr/>
        <w:tc>
          <w:tcPr>
            <w:tcW w:w="26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Chief Legal Officer and Corporate Secretary</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01233/000119312526374328/d116527dex2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1116</Words>
  <Characters>6001</Characters>
  <CharactersWithSpaces>7109</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